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638" w:type="dxa"/>
        <w:jc w:val="left"/>
        <w:tblInd w:w="1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638"/>
      </w:tblGrid>
      <w:tr>
        <w:trPr/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b/>
                <w:bCs/>
                <w:sz w:val="28"/>
                <w:szCs w:val="2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>Fiche réflexe : Accueillir un agent victime d’agression</w:t>
            </w:r>
          </w:p>
        </w:tc>
      </w:tr>
    </w:tbl>
    <w:p>
      <w:pPr>
        <w:pStyle w:val="Standard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Vous allez accueillir un de vos agents qui a été victime d’un acte de violence. Cette fiche est là pour vous aider à préparer au mieux cet échange et à ne pas oublier d’éléments importants .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b/>
          <w:bCs/>
          <w:sz w:val="28"/>
          <w:szCs w:val="28"/>
        </w:rPr>
      </w:pPr>
      <w:r>
        <w:rPr>
          <w:rFonts w:cs="Calibri" w:ascii="Calibri" w:hAnsi="Calibri" w:asciiTheme="minorHAnsi" w:cstheme="minorHAnsi" w:hAnsiTheme="minorHAnsi"/>
          <w:b/>
          <w:bCs/>
          <w:sz w:val="28"/>
          <w:szCs w:val="28"/>
        </w:rPr>
        <w:t>1) Temps de préparation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Si vous en avez la possibilité , prenez un rapide temps de préparation pour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1) relire cette fiche et vous notez les points de vigilance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2) imprimer, ouvrir  ou sortir les documents utiles (fiche « Vous avez été victime » à remettre à l’agent, rapport d'agression, bon pour consultation médicale, autorisation d’absence…) pour plus de fluidité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3) Séréniser  le lieu de rendez-vous ( renvoi d’appel, information de ne pas déranger, verre d’eau …)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4) si l’évènement vous affecte, redescendre vous-même en émotion quitte à appeler un collègue quelques minutes, afin de ne pas être en contagion émotionnelle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b/>
          <w:bCs/>
          <w:sz w:val="28"/>
          <w:szCs w:val="28"/>
        </w:rPr>
      </w:pPr>
      <w:r>
        <w:rPr>
          <w:rFonts w:cs="Calibri" w:ascii="Calibri" w:hAnsi="Calibri" w:asciiTheme="minorHAnsi" w:cstheme="minorHAnsi" w:hAnsiTheme="minorHAnsi"/>
          <w:b/>
          <w:bCs/>
          <w:sz w:val="28"/>
          <w:szCs w:val="28"/>
        </w:rPr>
        <w:t>2) Accueillir et écouter l’agent : la dimension relationnelle et humaine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Que vous receviez l’agent dans l’immédiate suite de l’évènement ou quelques jours après, votre accueil a un rôle essentiel. Il va permettre de diminuer l'intensité du stress post-traumatique et de permettre à l’agent de commencer à traiter l’expérience vécue.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Vous pouvez vous positionner selon les principes suivants  :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b/>
          <w:bCs/>
        </w:rPr>
        <w:t>Liberté de parole</w:t>
      </w:r>
      <w:r>
        <w:rPr>
          <w:rFonts w:cs="Calibri" w:ascii="Calibri" w:hAnsi="Calibri" w:asciiTheme="minorHAnsi" w:cstheme="minorHAnsi" w:hAnsiTheme="minorHAnsi"/>
        </w:rPr>
        <w:t> : l’agent exprime ce qu’il souhaite comme il souhaite et s'il le souhaite : «  Souhaitez-vous en parler ? », «  Vous avez des demandes particulières à ce stade ? » ...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b/>
          <w:bCs/>
        </w:rPr>
        <w:t>Présence et écoute active</w:t>
      </w:r>
      <w:r>
        <w:rPr>
          <w:rFonts w:cs="Calibri" w:ascii="Calibri" w:hAnsi="Calibri" w:asciiTheme="minorHAnsi" w:cstheme="minorHAnsi" w:hAnsiTheme="minorHAnsi"/>
        </w:rPr>
        <w:t xml:space="preserve"> : assurez-vous que l’agent se sente en sécurité et soutenu dès son retour. Offrez un espace calme et privé pour discuter, loin de l'agitation habituelle.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b/>
          <w:bCs/>
        </w:rPr>
        <w:t>Reconnaissance de l’expérience vécue</w:t>
      </w:r>
      <w:r>
        <w:rPr>
          <w:rFonts w:cs="Calibri" w:ascii="Calibri" w:hAnsi="Calibri" w:asciiTheme="minorHAnsi" w:cstheme="minorHAnsi" w:hAnsiTheme="minorHAnsi"/>
        </w:rPr>
        <w:t xml:space="preserve"> : validez ses sentiments et ses réactions, quelle que soit leur nature. Il est important de reconnaître la légitimité de sa réponse émotionnelle face à la violence subie.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b/>
          <w:bCs/>
        </w:rPr>
        <w:t xml:space="preserve">Information sur les réactions normales </w:t>
      </w:r>
      <w:r>
        <w:rPr>
          <w:rFonts w:cs="Calibri" w:ascii="Calibri" w:hAnsi="Calibri" w:asciiTheme="minorHAnsi" w:cstheme="minorHAnsi" w:hAnsiTheme="minorHAnsi"/>
        </w:rPr>
        <w:t>: Informez éventuellement l’agent des réactions communes suite à un événement traumatisant (stress, anxiété, fatigue...). Lui faire comprendre qu’il n’est pas seul dans ce qu’il ressent peut être très rassurant.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b/>
          <w:bCs/>
        </w:rPr>
        <w:t>Non jugement </w:t>
      </w:r>
      <w:r>
        <w:rPr>
          <w:rFonts w:cs="Calibri" w:ascii="Calibri" w:hAnsi="Calibri" w:asciiTheme="minorHAnsi" w:cstheme="minorHAnsi" w:hAnsiTheme="minorHAnsi"/>
        </w:rPr>
        <w:t>: à ce stade proscrivez toute remarque jugeante  (ex « d’après vous qu’est-ce que vous avez pu dire ou faire pour qu’il explose comme ca ? » « je suis inquièt-e, cela fait déjà trois fois que ca vous arrive ... » «  je suis surpris-e c’est un usager pourtant très calme et coopératif ... ») Si une relecture doit avoir lieu de l’action de l’agent elle sera possible une fois une première phase d’élaboration réalisée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 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b/>
          <w:bCs/>
          <w:sz w:val="28"/>
          <w:szCs w:val="28"/>
        </w:rPr>
      </w:pPr>
      <w:r>
        <w:rPr>
          <w:rFonts w:cs="Calibri" w:cstheme="minorHAnsi" w:ascii="Calibri" w:hAnsi="Calibri"/>
          <w:b/>
          <w:bCs/>
          <w:sz w:val="28"/>
          <w:szCs w:val="28"/>
        </w:rPr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b/>
          <w:bCs/>
          <w:sz w:val="28"/>
          <w:szCs w:val="28"/>
        </w:rPr>
      </w:pPr>
      <w:r>
        <w:rPr>
          <w:rFonts w:cs="Calibri" w:cstheme="minorHAnsi" w:ascii="Calibri" w:hAnsi="Calibri"/>
          <w:b/>
          <w:bCs/>
          <w:sz w:val="28"/>
          <w:szCs w:val="28"/>
        </w:rPr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b/>
          <w:bCs/>
          <w:sz w:val="28"/>
          <w:szCs w:val="28"/>
        </w:rPr>
      </w:pPr>
      <w:r>
        <w:rPr>
          <w:rFonts w:cs="Calibri" w:ascii="Calibri" w:hAnsi="Calibri" w:asciiTheme="minorHAnsi" w:cstheme="minorHAnsi" w:hAnsiTheme="minorHAnsi"/>
          <w:b/>
          <w:bCs/>
          <w:sz w:val="28"/>
          <w:szCs w:val="28"/>
        </w:rPr>
        <w:t>3) Mettre en œuvre la procédure : la dimension institutionnelle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Standard"/>
        <w:numPr>
          <w:ilvl w:val="0"/>
          <w:numId w:val="1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b/>
          <w:bCs/>
        </w:rPr>
        <w:t>Informer l’agent de l’élaboration d’un rapport d’incident.</w:t>
      </w:r>
      <w:r>
        <w:rPr>
          <w:rFonts w:cs="Calibri" w:ascii="Calibri" w:hAnsi="Calibri" w:asciiTheme="minorHAnsi" w:cstheme="minorHAnsi" w:hAnsiTheme="minorHAnsi"/>
        </w:rPr>
        <w:t xml:space="preserve"> S'il en est capable, lui demander des éléments de précision sur l’évènement et les témoins éventuels. Sinon, lui indiquer que ce rapport sera relu avec lui plus tard et complété / amendé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Standard"/>
        <w:numPr>
          <w:ilvl w:val="0"/>
          <w:numId w:val="1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b/>
          <w:bCs/>
        </w:rPr>
        <w:t>Rassurer l’agent sur le fait que l’information</w:t>
      </w:r>
      <w:r>
        <w:rPr>
          <w:rFonts w:cs="Calibri" w:ascii="Calibri" w:hAnsi="Calibri" w:asciiTheme="minorHAnsi" w:cstheme="minorHAnsi" w:hAnsiTheme="minorHAnsi"/>
        </w:rPr>
        <w:t xml:space="preserve"> sur l’évènement sera faite en lien avec lui, et qu’il sera évité toute stigmatisation. L’inviter de son côté à la discrétion dans sa communication publique ( ex « coup de gueule » sur les réseau sociaux ou la messagerie du CD)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Standard"/>
        <w:numPr>
          <w:ilvl w:val="0"/>
          <w:numId w:val="1"/>
        </w:numPr>
        <w:jc w:val="both"/>
        <w:rPr>
          <w:rFonts w:ascii="Calibri" w:hAnsi="Calibri" w:cs="Calibri" w:asciiTheme="minorHAnsi" w:cstheme="minorHAnsi" w:hAnsiTheme="minorHAnsi"/>
          <w:b/>
          <w:bCs/>
        </w:rPr>
      </w:pPr>
      <w:r>
        <w:rPr>
          <w:rFonts w:cs="Calibri" w:ascii="Calibri" w:hAnsi="Calibri" w:asciiTheme="minorHAnsi" w:cstheme="minorHAnsi" w:hAnsiTheme="minorHAnsi"/>
          <w:b/>
          <w:bCs/>
        </w:rPr>
        <w:t>Évoquer la déclaratio</w:t>
      </w:r>
      <w:r>
        <w:rPr>
          <w:rFonts w:cs="Calibri" w:ascii="Calibri" w:hAnsi="Calibri" w:asciiTheme="minorHAnsi" w:cstheme="minorHAnsi" w:hAnsiTheme="minorHAnsi"/>
          <w:b/>
          <w:bCs/>
          <w:shd w:fill="auto" w:val="clear"/>
        </w:rPr>
        <w:t xml:space="preserve">n </w:t>
      </w:r>
      <w:r>
        <w:rPr>
          <w:rFonts w:cs="Calibri" w:ascii="Calibri" w:hAnsi="Calibri" w:asciiTheme="minorHAnsi" w:cstheme="minorHAnsi" w:hAnsiTheme="minorHAnsi"/>
          <w:b/>
          <w:bCs/>
          <w:shd w:fill="auto" w:val="clear"/>
        </w:rPr>
        <w:t xml:space="preserve">d'accident </w:t>
      </w:r>
      <w:r>
        <w:rPr>
          <w:rFonts w:cs="Calibri" w:ascii="Calibri" w:hAnsi="Calibri" w:asciiTheme="minorHAnsi" w:cstheme="minorHAnsi" w:hAnsiTheme="minorHAnsi"/>
          <w:b/>
          <w:bCs/>
          <w:shd w:fill="auto" w:val="clear"/>
        </w:rPr>
        <w:t>d</w:t>
      </w:r>
      <w:r>
        <w:rPr>
          <w:rFonts w:cs="Calibri" w:ascii="Calibri" w:hAnsi="Calibri" w:asciiTheme="minorHAnsi" w:cstheme="minorHAnsi" w:hAnsiTheme="minorHAnsi"/>
          <w:b/>
          <w:bCs/>
          <w:shd w:fill="auto" w:val="clear"/>
        </w:rPr>
        <w:t xml:space="preserve">u travail </w:t>
      </w:r>
      <w:r>
        <w:rPr>
          <w:rFonts w:cs="Calibri" w:ascii="Calibri" w:hAnsi="Calibri" w:asciiTheme="minorHAnsi" w:cstheme="minorHAnsi" w:hAnsiTheme="minorHAnsi"/>
          <w:b/>
          <w:bCs/>
          <w:shd w:fill="auto" w:val="clear"/>
        </w:rPr>
        <w:t>et</w:t>
      </w:r>
      <w:r>
        <w:rPr>
          <w:rFonts w:cs="Calibri" w:ascii="Calibri" w:hAnsi="Calibri" w:asciiTheme="minorHAnsi" w:cstheme="minorHAnsi" w:hAnsiTheme="minorHAnsi"/>
          <w:b/>
          <w:bCs/>
        </w:rPr>
        <w:t xml:space="preserve"> ses avantages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b/>
          <w:bCs/>
          <w:sz w:val="10"/>
          <w:szCs w:val="10"/>
        </w:rPr>
      </w:pPr>
      <w:r>
        <w:rPr>
          <w:rFonts w:cs="Calibri" w:cstheme="minorHAnsi" w:ascii="Calibri" w:hAnsi="Calibri"/>
          <w:b/>
          <w:bCs/>
          <w:sz w:val="10"/>
          <w:szCs w:val="10"/>
        </w:rPr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-  prise en charge à 100 % des frais médicaux s'il y en a 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- sécurité si des symptômes apparaissent plus tard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- plus facile pour la collectivité d’être en soutien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Ce n’est pas une mesure de «faiblesse» ou de «dramatisation», juste une mesure de sécurité pour tout le monde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Proposer un rdv médical financé par la sécurité sociale et vérifier l’accès à un médecin traitant par l’agent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b/>
        </w:rPr>
      </w:pPr>
      <w:r>
        <w:rPr>
          <w:rFonts w:cs="Calibri" w:ascii="Calibri" w:hAnsi="Calibri" w:asciiTheme="minorHAnsi" w:cstheme="minorHAnsi" w:hAnsiTheme="minorHAnsi"/>
        </w:rPr>
        <w:t xml:space="preserve">- </w:t>
      </w:r>
      <w:r>
        <w:rPr>
          <w:rFonts w:cs="Calibri" w:ascii="Calibri" w:hAnsi="Calibri" w:asciiTheme="minorHAnsi" w:cstheme="minorHAnsi" w:hAnsiTheme="minorHAnsi"/>
          <w:sz w:val="10"/>
          <w:szCs w:val="10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SI AGENT CONTRACTUEL INSISTER SUR LE DELAI DE 48h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sz w:val="10"/>
          <w:szCs w:val="10"/>
        </w:rPr>
      </w:pPr>
      <w:r>
        <w:rPr>
          <w:rFonts w:cs="Calibri" w:cstheme="minorHAnsi" w:ascii="Calibri" w:hAnsi="Calibri"/>
          <w:sz w:val="10"/>
          <w:szCs w:val="10"/>
        </w:rPr>
      </w:r>
    </w:p>
    <w:p>
      <w:pPr>
        <w:pStyle w:val="Standard"/>
        <w:numPr>
          <w:ilvl w:val="0"/>
          <w:numId w:val="1"/>
        </w:numPr>
        <w:jc w:val="both"/>
        <w:rPr>
          <w:rFonts w:ascii="Calibri" w:hAnsi="Calibri" w:cs="Calibri" w:asciiTheme="minorHAnsi" w:cstheme="minorHAnsi" w:hAnsiTheme="minorHAnsi"/>
          <w:b/>
          <w:bCs/>
        </w:rPr>
      </w:pPr>
      <w:r>
        <w:rPr>
          <w:rFonts w:cs="Calibri" w:ascii="Calibri" w:hAnsi="Calibri" w:asciiTheme="minorHAnsi" w:cstheme="minorHAnsi" w:hAnsiTheme="minorHAnsi"/>
          <w:b/>
          <w:bCs/>
        </w:rPr>
        <w:t>Évoquer l’intérêt de la plainte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b/>
          <w:bCs/>
          <w:sz w:val="10"/>
          <w:szCs w:val="10"/>
        </w:rPr>
      </w:pPr>
      <w:r>
        <w:rPr>
          <w:rFonts w:cs="Calibri" w:cstheme="minorHAnsi" w:ascii="Calibri" w:hAnsi="Calibri"/>
          <w:b/>
          <w:bCs/>
          <w:sz w:val="10"/>
          <w:szCs w:val="10"/>
        </w:rPr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b/>
          <w:bCs/>
        </w:rPr>
      </w:pPr>
      <w:r>
        <w:rPr>
          <w:rFonts w:cs="Calibri" w:ascii="Calibri" w:hAnsi="Calibri" w:asciiTheme="minorHAnsi" w:cstheme="minorHAnsi" w:hAnsiTheme="minorHAnsi"/>
          <w:b/>
          <w:bCs/>
        </w:rPr>
        <w:t xml:space="preserve">- </w:t>
      </w:r>
      <w:r>
        <w:rPr>
          <w:rFonts w:cs="Calibri" w:ascii="Calibri" w:hAnsi="Calibri" w:asciiTheme="minorHAnsi" w:cstheme="minorHAnsi" w:hAnsiTheme="minorHAnsi"/>
        </w:rPr>
        <w:t>Protection de l’agent et responsabilisation de l’auteur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b/>
          <w:bCs/>
        </w:rPr>
      </w:pPr>
      <w:r>
        <w:rPr>
          <w:rFonts w:cs="Calibri" w:ascii="Calibri" w:hAnsi="Calibri" w:asciiTheme="minorHAnsi" w:cstheme="minorHAnsi" w:hAnsiTheme="minorHAnsi"/>
        </w:rPr>
        <w:t>- protection de futures victimes éventuelles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b/>
          <w:bCs/>
        </w:rPr>
      </w:pPr>
      <w:r>
        <w:rPr>
          <w:rFonts w:cs="Calibri" w:cstheme="minorHAnsi"/>
        </w:rPr>
        <w:tab/>
        <w:t>⇒</w:t>
      </w:r>
      <w:r>
        <w:rPr>
          <w:rFonts w:cs="Calibri" w:ascii="Calibri" w:hAnsi="Calibri" w:asciiTheme="minorHAnsi" w:cstheme="minorHAnsi" w:hAnsiTheme="minorHAnsi"/>
        </w:rPr>
        <w:t xml:space="preserve"> rappeler que la collectivité peut mobiliser une protection fonctionnelle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b/>
          <w:bCs/>
        </w:rPr>
      </w:pPr>
      <w:r>
        <w:rPr>
          <w:rFonts w:cs="Calibri" w:cstheme="minorHAnsi"/>
        </w:rPr>
        <w:tab/>
        <w:t>⇒</w:t>
      </w:r>
      <w:r>
        <w:rPr>
          <w:rFonts w:cs="Calibri" w:ascii="Calibri" w:hAnsi="Calibri" w:asciiTheme="minorHAnsi" w:cstheme="minorHAnsi" w:hAnsiTheme="minorHAnsi"/>
        </w:rPr>
        <w:t xml:space="preserve"> rappeler que l’agent peut être accompagné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b/>
          <w:bCs/>
        </w:rPr>
      </w:pPr>
      <w:r>
        <w:rPr>
          <w:rFonts w:cs="Calibri" w:cstheme="minorHAnsi"/>
        </w:rPr>
        <w:tab/>
        <w:t>⇒</w:t>
      </w:r>
      <w:r>
        <w:rPr>
          <w:rFonts w:cs="Calibri" w:ascii="Calibri" w:hAnsi="Calibri" w:asciiTheme="minorHAnsi" w:cstheme="minorHAnsi" w:hAnsiTheme="minorHAnsi"/>
        </w:rPr>
        <w:t xml:space="preserve"> rappeler que l’agent donnera son adresse professionnelle et non personnelle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b/>
          <w:bCs/>
        </w:rPr>
      </w:pPr>
      <w:r>
        <w:rPr>
          <w:rFonts w:cs="Calibri" w:cstheme="minorHAnsi" w:ascii="Calibri" w:hAnsi="Calibri"/>
          <w:b/>
          <w:bCs/>
        </w:rPr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b/>
          <w:bCs/>
        </w:rPr>
      </w:pPr>
      <w:r>
        <w:rPr>
          <w:rFonts w:cs="Calibri" w:ascii="Calibri" w:hAnsi="Calibri" w:asciiTheme="minorHAnsi" w:cstheme="minorHAnsi" w:hAnsiTheme="minorHAnsi"/>
        </w:rPr>
        <w:t>Si crainte de l’usager et de ses représailles, évoquer dès à présent la possibilité d’aménager / relayer l’accompagnement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b/>
          <w:bCs/>
          <w:sz w:val="10"/>
          <w:szCs w:val="10"/>
        </w:rPr>
      </w:pPr>
      <w:r>
        <w:rPr>
          <w:rFonts w:cs="Calibri" w:cstheme="minorHAnsi" w:ascii="Calibri" w:hAnsi="Calibri"/>
          <w:b/>
          <w:bCs/>
          <w:sz w:val="10"/>
          <w:szCs w:val="10"/>
        </w:rPr>
      </w:r>
    </w:p>
    <w:p>
      <w:pPr>
        <w:pStyle w:val="Standard"/>
        <w:numPr>
          <w:ilvl w:val="0"/>
          <w:numId w:val="2"/>
        </w:numPr>
        <w:jc w:val="both"/>
        <w:rPr>
          <w:rFonts w:ascii="Calibri" w:hAnsi="Calibri" w:cs="Calibri" w:asciiTheme="minorHAnsi" w:cstheme="minorHAnsi" w:hAnsiTheme="minorHAnsi"/>
          <w:b/>
          <w:bCs/>
        </w:rPr>
      </w:pPr>
      <w:r>
        <w:rPr>
          <w:rFonts w:cs="Calibri" w:ascii="Calibri" w:hAnsi="Calibri" w:asciiTheme="minorHAnsi" w:cstheme="minorHAnsi" w:hAnsiTheme="minorHAnsi"/>
        </w:rPr>
        <w:t xml:space="preserve">Rappeler l’invitation de </w:t>
      </w:r>
      <w:r>
        <w:rPr>
          <w:rFonts w:cs="Calibri" w:ascii="Calibri" w:hAnsi="Calibri" w:asciiTheme="minorHAnsi" w:cstheme="minorHAnsi" w:hAnsiTheme="minorHAnsi"/>
          <w:b/>
          <w:bCs/>
        </w:rPr>
        <w:t>l’assistante sociale du personnel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b/>
          <w:bCs/>
          <w:sz w:val="10"/>
          <w:szCs w:val="10"/>
        </w:rPr>
      </w:pPr>
      <w:r>
        <w:rPr>
          <w:rFonts w:cs="Calibri" w:cstheme="minorHAnsi" w:ascii="Calibri" w:hAnsi="Calibri"/>
          <w:b/>
          <w:bCs/>
          <w:sz w:val="10"/>
          <w:szCs w:val="10"/>
        </w:rPr>
      </w:r>
    </w:p>
    <w:p>
      <w:pPr>
        <w:pStyle w:val="Standard"/>
        <w:numPr>
          <w:ilvl w:val="0"/>
          <w:numId w:val="2"/>
        </w:numPr>
        <w:jc w:val="both"/>
        <w:rPr>
          <w:rFonts w:ascii="Calibri" w:hAnsi="Calibri" w:cs="Calibri" w:asciiTheme="minorHAnsi" w:cstheme="minorHAnsi" w:hAnsiTheme="minorHAnsi"/>
          <w:b/>
          <w:bCs/>
        </w:rPr>
      </w:pPr>
      <w:r>
        <w:rPr>
          <w:rFonts w:cs="Calibri" w:ascii="Calibri" w:hAnsi="Calibri" w:asciiTheme="minorHAnsi" w:cstheme="minorHAnsi" w:hAnsiTheme="minorHAnsi"/>
        </w:rPr>
        <w:t xml:space="preserve">Informer que si nécessaire il est possible d’avoir un </w:t>
      </w:r>
      <w:r>
        <w:rPr>
          <w:rFonts w:cs="Calibri" w:ascii="Calibri" w:hAnsi="Calibri" w:asciiTheme="minorHAnsi" w:cstheme="minorHAnsi" w:hAnsiTheme="minorHAnsi"/>
          <w:b/>
          <w:bCs/>
        </w:rPr>
        <w:t xml:space="preserve">suivi psychologique </w:t>
      </w:r>
      <w:r>
        <w:rPr>
          <w:rFonts w:cs="Calibri" w:ascii="Calibri" w:hAnsi="Calibri" w:asciiTheme="minorHAnsi" w:cstheme="minorHAnsi" w:hAnsiTheme="minorHAnsi"/>
        </w:rPr>
        <w:t>pris en charge par la collectivité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b/>
          <w:bCs/>
          <w:sz w:val="10"/>
          <w:szCs w:val="10"/>
        </w:rPr>
      </w:pPr>
      <w:r>
        <w:rPr>
          <w:rFonts w:cs="Calibri" w:cstheme="minorHAnsi" w:ascii="Calibri" w:hAnsi="Calibri"/>
          <w:b/>
          <w:bCs/>
          <w:sz w:val="10"/>
          <w:szCs w:val="10"/>
        </w:rPr>
      </w:r>
    </w:p>
    <w:p>
      <w:pPr>
        <w:pStyle w:val="Standard"/>
        <w:numPr>
          <w:ilvl w:val="0"/>
          <w:numId w:val="2"/>
        </w:numPr>
        <w:jc w:val="both"/>
        <w:rPr>
          <w:rFonts w:ascii="Calibri" w:hAnsi="Calibri" w:cs="Calibri" w:asciiTheme="minorHAnsi" w:cstheme="minorHAnsi" w:hAnsiTheme="minorHAnsi"/>
          <w:b/>
          <w:bCs/>
        </w:rPr>
      </w:pPr>
      <w:r>
        <w:rPr>
          <w:rFonts w:cs="Calibri" w:ascii="Calibri" w:hAnsi="Calibri" w:asciiTheme="minorHAnsi" w:cstheme="minorHAnsi" w:hAnsiTheme="minorHAnsi"/>
          <w:b/>
          <w:bCs/>
        </w:rPr>
        <w:t>Remettre la brochure</w:t>
      </w:r>
      <w:r>
        <w:rPr>
          <w:rFonts w:cs="Calibri" w:ascii="Calibri" w:hAnsi="Calibri" w:asciiTheme="minorHAnsi" w:cstheme="minorHAnsi" w:hAnsiTheme="minorHAnsi"/>
        </w:rPr>
        <w:t xml:space="preserve"> mémo «Vous avez été victime» et relire la liste des </w:t>
      </w:r>
      <w:r>
        <w:rPr>
          <w:rFonts w:cs="Calibri" w:ascii="Calibri" w:hAnsi="Calibri" w:asciiTheme="minorHAnsi" w:cstheme="minorHAnsi" w:hAnsiTheme="minorHAnsi"/>
          <w:b/>
          <w:bCs/>
        </w:rPr>
        <w:t>personnes ressources en fin de document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sz w:val="10"/>
          <w:szCs w:val="10"/>
        </w:rPr>
      </w:pPr>
      <w:r>
        <w:rPr>
          <w:rFonts w:cs="Calibri" w:cstheme="minorHAnsi" w:ascii="Calibri" w:hAnsi="Calibri"/>
          <w:sz w:val="10"/>
          <w:szCs w:val="10"/>
        </w:rPr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sz w:val="28"/>
          <w:szCs w:val="28"/>
        </w:rPr>
      </w:pPr>
      <w:r>
        <w:rPr>
          <w:rFonts w:cs="Calibri" w:ascii="Calibri" w:hAnsi="Calibri" w:asciiTheme="minorHAnsi" w:cstheme="minorHAnsi" w:hAnsiTheme="minorHAnsi"/>
          <w:b/>
          <w:bCs/>
          <w:sz w:val="28"/>
          <w:szCs w:val="28"/>
        </w:rPr>
        <w:t>4) Clôturer les échanges et  passer les relais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Standard"/>
        <w:numPr>
          <w:ilvl w:val="0"/>
          <w:numId w:val="3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Donner un rdv ultérieur si besoin et préciser que « la porte est ouverte »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sz w:val="10"/>
          <w:szCs w:val="10"/>
        </w:rPr>
      </w:pPr>
      <w:r>
        <w:rPr>
          <w:rFonts w:cs="Calibri" w:cstheme="minorHAnsi" w:ascii="Calibri" w:hAnsi="Calibri"/>
          <w:sz w:val="10"/>
          <w:szCs w:val="10"/>
        </w:rPr>
      </w:r>
    </w:p>
    <w:p>
      <w:pPr>
        <w:pStyle w:val="Standard"/>
        <w:numPr>
          <w:ilvl w:val="0"/>
          <w:numId w:val="3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S’assurer du retour en sécurité chez elle de la personne si elle le souhaite ou si vous en convenez  (autorisation d ‘absence, accompagnement…)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sz w:val="10"/>
          <w:szCs w:val="10"/>
        </w:rPr>
      </w:pPr>
      <w:r>
        <w:rPr>
          <w:rFonts w:cs="Calibri" w:cstheme="minorHAnsi" w:ascii="Calibri" w:hAnsi="Calibri"/>
          <w:sz w:val="10"/>
          <w:szCs w:val="10"/>
        </w:rPr>
      </w:r>
    </w:p>
    <w:p>
      <w:pPr>
        <w:pStyle w:val="Standard"/>
        <w:numPr>
          <w:ilvl w:val="0"/>
          <w:numId w:val="3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Finaliser le formulaire unique rapport d’agression et le transmettre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sz w:val="10"/>
          <w:szCs w:val="10"/>
        </w:rPr>
      </w:pPr>
      <w:r>
        <w:rPr>
          <w:rFonts w:cs="Calibri" w:cstheme="minorHAnsi" w:ascii="Calibri" w:hAnsi="Calibri"/>
          <w:sz w:val="10"/>
          <w:szCs w:val="10"/>
        </w:rPr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ab/>
        <w:t>=&gt; Hiérarchie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sz w:val="10"/>
          <w:szCs w:val="10"/>
        </w:rPr>
      </w:pPr>
      <w:r>
        <w:rPr>
          <w:rFonts w:cs="Calibri" w:cstheme="minorHAnsi" w:ascii="Calibri" w:hAnsi="Calibri"/>
          <w:sz w:val="10"/>
          <w:szCs w:val="10"/>
        </w:rPr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ab/>
        <w:t>=&gt; DRH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sz w:val="10"/>
          <w:szCs w:val="10"/>
        </w:rPr>
      </w:pPr>
      <w:r>
        <w:rPr>
          <w:rFonts w:cs="Calibri" w:cstheme="minorHAnsi" w:ascii="Calibri" w:hAnsi="Calibri"/>
          <w:sz w:val="10"/>
          <w:szCs w:val="10"/>
        </w:rPr>
      </w:r>
    </w:p>
    <w:p>
      <w:pPr>
        <w:pStyle w:val="Standard"/>
        <w:numPr>
          <w:ilvl w:val="0"/>
          <w:numId w:val="3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Prendre les mesures immédiates d’aménagement de la prise en charge de l’auteur de l'agression si nécessaire</w:t>
      </w:r>
    </w:p>
    <w:p>
      <w:pPr>
        <w:pStyle w:val="Standard"/>
        <w:numPr>
          <w:ilvl w:val="0"/>
          <w:numId w:val="3"/>
        </w:numPr>
        <w:jc w:val="both"/>
        <w:rPr/>
      </w:pPr>
      <w:r>
        <w:rPr>
          <w:rFonts w:cs="Calibri" w:ascii="Calibri" w:hAnsi="Calibri" w:asciiTheme="minorHAnsi" w:cstheme="minorHAnsi" w:hAnsiTheme="minorHAnsi"/>
        </w:rPr>
        <w:t>A l’issue de cet entretien, prendre un temps de gestion émotionnelle personnel si vous en ressentez le besoin (pause à l’extérieur, appel d’un tiers)</w:t>
      </w:r>
    </w:p>
    <w:sectPr>
      <w:type w:val="nextPage"/>
      <w:pgSz w:w="11906" w:h="16838"/>
      <w:pgMar w:left="1134" w:right="1134" w:gutter="0" w:header="0" w:top="737" w:footer="0" w:bottom="73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2"/>
    <w:family w:val="auto"/>
    <w:pitch w:val="variable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0"/>
      <w:numFmt w:val="bullet"/>
      <w:lvlText w:val="◦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2">
      <w:start w:val="0"/>
      <w:numFmt w:val="bullet"/>
      <w:lvlText w:val="▪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◦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5">
      <w:start w:val="0"/>
      <w:numFmt w:val="bullet"/>
      <w:lvlText w:val="▪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◦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8">
      <w:start w:val="0"/>
      <w:numFmt w:val="bullet"/>
      <w:lvlText w:val="▪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</w:abstractNum>
  <w:abstractNum w:abstractNumId="2">
    <w:lvl w:ilvl="0"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0"/>
      <w:numFmt w:val="bullet"/>
      <w:lvlText w:val="◦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2">
      <w:start w:val="0"/>
      <w:numFmt w:val="bullet"/>
      <w:lvlText w:val="▪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◦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5">
      <w:start w:val="0"/>
      <w:numFmt w:val="bullet"/>
      <w:lvlText w:val="▪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◦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8">
      <w:start w:val="0"/>
      <w:numFmt w:val="bullet"/>
      <w:lvlText w:val="▪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</w:abstractNum>
  <w:abstractNum w:abstractNumId="3">
    <w:lvl w:ilvl="0"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0"/>
      <w:numFmt w:val="bullet"/>
      <w:lvlText w:val="◦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2">
      <w:start w:val="0"/>
      <w:numFmt w:val="bullet"/>
      <w:lvlText w:val="▪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◦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5">
      <w:start w:val="0"/>
      <w:numFmt w:val="bullet"/>
      <w:lvlText w:val="▪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◦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8">
      <w:start w:val="0"/>
      <w:numFmt w:val="bullet"/>
      <w:lvlText w:val="▪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425"/>
  <w:compat>
    <w:compatSetting w:name="compatibilityMode" w:uri="http://schemas.microsoft.com/office/word" w:val="12"/>
  </w:compat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fr-F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84d06"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val="fr-F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uces" w:customStyle="1">
    <w:name w:val="Puces"/>
    <w:qFormat/>
    <w:rsid w:val="00a325e5"/>
    <w:rPr>
      <w:rFonts w:ascii="OpenSymbol" w:hAnsi="OpenSymbol" w:eastAsia="OpenSymbol" w:cs="OpenSymbol"/>
    </w:rPr>
  </w:style>
  <w:style w:type="paragraph" w:styleId="Titre" w:customStyle="1">
    <w:name w:val="Titre"/>
    <w:basedOn w:val="Standard"/>
    <w:next w:val="Textbody"/>
    <w:qFormat/>
    <w:rsid w:val="00a325e5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Textbody"/>
    <w:rsid w:val="00a325e5"/>
    <w:pPr/>
    <w:rPr/>
  </w:style>
  <w:style w:type="paragraph" w:styleId="Lgende" w:customStyle="1">
    <w:name w:val="Caption"/>
    <w:basedOn w:val="Standard"/>
    <w:qFormat/>
    <w:rsid w:val="00a325e5"/>
    <w:pPr>
      <w:suppressLineNumbers/>
      <w:spacing w:before="120" w:after="120"/>
    </w:pPr>
    <w:rPr>
      <w:i/>
      <w:iCs/>
    </w:rPr>
  </w:style>
  <w:style w:type="paragraph" w:styleId="Index" w:customStyle="1">
    <w:name w:val="Index"/>
    <w:basedOn w:val="Standard"/>
    <w:qFormat/>
    <w:rsid w:val="00a325e5"/>
    <w:pPr>
      <w:suppressLineNumbers/>
    </w:pPr>
    <w:rPr/>
  </w:style>
  <w:style w:type="paragraph" w:styleId="Standard" w:customStyle="1">
    <w:name w:val="Standard"/>
    <w:qFormat/>
    <w:rsid w:val="00a325e5"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val="fr-FR" w:eastAsia="zh-CN" w:bidi="hi-IN"/>
    </w:rPr>
  </w:style>
  <w:style w:type="paragraph" w:styleId="Textbody" w:customStyle="1">
    <w:name w:val="Text body"/>
    <w:basedOn w:val="Standard"/>
    <w:qFormat/>
    <w:rsid w:val="00a325e5"/>
    <w:pPr>
      <w:spacing w:lineRule="auto" w:line="276" w:before="0" w:after="14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Application>LibreOffice/7.5.4.2$Windows_X86_64 LibreOffice_project/36ccfdc35048b057fd9854c757a8b67ec53977b6</Application>
  <AppVersion>15.0000</AppVersion>
  <Pages>2</Pages>
  <Words>816</Words>
  <Characters>4150</Characters>
  <CharactersWithSpaces>4928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2024-02-06T10:21:00Z</dcterms:created>
  <dc:creator>Yachar</dc:creator>
  <dc:description/>
  <dc:language>fr-FR</dc:language>
  <cp:lastModifiedBy/>
  <dcterms:modified xsi:type="dcterms:W3CDTF">2024-02-06T13:12:18Z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